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7.jpeg" ContentType="image/jpeg"/>
  <Override PartName="/word/media/image2.png" ContentType="image/png"/>
  <Override PartName="/word/media/image3.png" ContentType="image/png"/>
  <Override PartName="/word/media/image4.png" ContentType="image/png"/>
  <Override PartName="/word/media/image6.jpeg" ContentType="image/jpeg"/>
  <Override PartName="/word/media/image5.jpeg" ContentType="image/jpeg"/>
  <Override PartName="/word/media/image8.jpeg" ContentType="image/jpeg"/>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Override PartName="/word/_rels/footer3.xml.rels" ContentType="application/vnd.openxmlformats-package.relationships+xml"/>
  <Override PartName="/word/_rels/foot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outline w:val="false"/>
          <w:color w:val="000000"/>
          <w:sz w:val="24"/>
          <w:szCs w:val="24"/>
          <w:u w:val="none" w:color="000000"/>
        </w:rPr>
      </w:pPr>
      <w:r>
        <w:rPr>
          <w:b/>
          <w:bCs/>
          <w:outline w:val="false"/>
          <w:color w:val="000000"/>
          <w:sz w:val="18"/>
          <w:szCs w:val="18"/>
          <w:u w:val="none" w:color="000000"/>
          <w:lang w:val="it-IT"/>
        </w:rPr>
        <w:t>XLVII EDIZIONE </w:t>
      </w:r>
      <w:r>
        <w:rPr>
          <w:outline w:val="false"/>
          <w:color w:val="000000"/>
          <w:sz w:val="18"/>
          <w:szCs w:val="18"/>
          <w:u w:val="none" w:color="000000"/>
          <w:lang w:val="it-IT"/>
        </w:rPr>
        <w:t> </w:t>
      </w:r>
    </w:p>
    <w:p>
      <w:pPr>
        <w:pStyle w:val="Normal"/>
        <w:jc w:val="center"/>
        <w:rPr>
          <w:outline w:val="false"/>
          <w:color w:val="000000"/>
          <w:sz w:val="24"/>
          <w:szCs w:val="24"/>
          <w:u w:val="none" w:color="000000"/>
        </w:rPr>
      </w:pPr>
      <w:r>
        <w:rPr>
          <w:b/>
          <w:bCs/>
          <w:outline w:val="false"/>
          <w:color w:val="000000"/>
          <w:sz w:val="18"/>
          <w:szCs w:val="18"/>
          <w:u w:val="none" w:color="000000"/>
          <w:lang w:val="it-IT"/>
        </w:rPr>
        <w:t>MEETING PER L’AMICIZIA FRA I POPOLI</w:t>
      </w:r>
      <w:r>
        <w:rPr>
          <w:outline w:val="false"/>
          <w:color w:val="000000"/>
          <w:sz w:val="18"/>
          <w:szCs w:val="18"/>
          <w:u w:val="none" w:color="000000"/>
          <w:lang w:val="it-IT"/>
        </w:rPr>
        <w:t> </w:t>
      </w:r>
    </w:p>
    <w:p>
      <w:pPr>
        <w:pStyle w:val="Normal"/>
        <w:jc w:val="center"/>
        <w:rPr>
          <w:outline w:val="false"/>
          <w:color w:val="000000"/>
          <w:sz w:val="24"/>
          <w:szCs w:val="24"/>
          <w:u w:val="none" w:color="000000"/>
        </w:rPr>
      </w:pPr>
      <w:r>
        <w:rPr>
          <w:b/>
          <w:bCs/>
          <w:outline w:val="false"/>
          <w:color w:val="1F497D"/>
          <w:u w:val="none" w:color="1F497D"/>
          <w:lang w:val="it-IT"/>
        </w:rPr>
        <w:t>L’amor che move il sole e l’altre stelle</w:t>
      </w:r>
    </w:p>
    <w:p>
      <w:pPr>
        <w:pStyle w:val="Normal"/>
        <w:jc w:val="center"/>
        <w:rPr>
          <w:outline w:val="false"/>
          <w:color w:val="000000"/>
          <w:u w:val="none" w:color="000000"/>
        </w:rPr>
      </w:pPr>
      <w:r>
        <w:rPr>
          <w:outline w:val="false"/>
          <w:color w:val="000000"/>
          <w:u w:val="none" w:color="000000"/>
          <w:lang w:val="it-IT"/>
        </w:rPr>
        <w:t>21-26 AGOSTO 2026 – FIERA DI RIMINI</w:t>
      </w:r>
      <w:r>
        <w:rPr>
          <w:outline w:val="false"/>
          <w:color w:val="000000"/>
          <w:sz w:val="14"/>
          <w:szCs w:val="14"/>
          <w:u w:val="none" w:color="000000"/>
          <w:lang w:val="it-IT"/>
        </w:rPr>
        <w:t> </w:t>
      </w:r>
    </w:p>
    <w:p>
      <w:pPr>
        <w:pStyle w:val="Normal"/>
        <w:rPr>
          <w:outline w:val="false"/>
          <w:color w:val="000000"/>
          <w:sz w:val="24"/>
          <w:szCs w:val="24"/>
          <w:u w:val="none" w:color="000000"/>
        </w:rPr>
      </w:pPr>
      <w:r>
        <w:rPr>
          <w:outline w:val="false"/>
          <w:color w:val="000000"/>
          <w:sz w:val="20"/>
          <w:szCs w:val="20"/>
          <w:u w:val="none" w:color="000000"/>
          <w:lang w:val="it-IT"/>
        </w:rPr>
        <w:t> </w:t>
      </w:r>
    </w:p>
    <w:p>
      <w:pPr>
        <w:pStyle w:val="Normal"/>
        <w:spacing w:before="0" w:after="60"/>
        <w:jc w:val="center"/>
        <w:rPr/>
      </w:pPr>
      <w:r>
        <w:rPr>
          <w:lang w:val="it-IT"/>
        </w:rPr>
        <w:t>comunicato stampa n. 15</w:t>
      </w:r>
    </w:p>
    <w:p>
      <w:pPr>
        <w:pStyle w:val="Normal"/>
        <w:jc w:val="center"/>
        <w:rPr>
          <w:b/>
          <w:bCs/>
          <w:outline w:val="false"/>
          <w:color w:val="000000"/>
          <w:sz w:val="28"/>
          <w:szCs w:val="28"/>
          <w:u w:val="none" w:color="000000"/>
        </w:rPr>
      </w:pPr>
      <w:r>
        <w:rPr>
          <w:b/>
          <w:bCs/>
          <w:outline w:val="false"/>
          <w:color w:val="1F497D"/>
          <w:sz w:val="28"/>
          <w:szCs w:val="28"/>
          <w:u w:val="none" w:color="1F497D"/>
          <w:lang w:val="it-IT"/>
        </w:rPr>
        <w:t>La libertà di credere</w:t>
      </w:r>
    </w:p>
    <w:p>
      <w:pPr>
        <w:pStyle w:val="Normal"/>
        <w:spacing w:before="0" w:after="60"/>
        <w:jc w:val="center"/>
        <w:rPr>
          <w:i/>
          <w:i/>
          <w:iCs/>
          <w:sz w:val="24"/>
          <w:szCs w:val="24"/>
        </w:rPr>
      </w:pPr>
      <w:r>
        <w:rPr>
          <w:i/>
          <w:iCs/>
          <w:sz w:val="24"/>
          <w:szCs w:val="24"/>
          <w:lang w:val="it-IT"/>
        </w:rPr>
        <w:t>Un diritto umano al centro delle sfide geopolitiche</w:t>
      </w:r>
    </w:p>
    <w:p>
      <w:pPr>
        <w:pStyle w:val="Normal"/>
        <w:spacing w:before="0" w:after="120"/>
        <w:jc w:val="both"/>
        <w:rPr/>
      </w:pPr>
      <w:r>
        <w:rPr/>
      </w:r>
    </w:p>
    <w:p>
      <w:pPr>
        <w:pStyle w:val="Normal"/>
        <w:spacing w:before="0" w:after="120"/>
        <w:ind w:firstLine="340" w:left="0" w:right="0"/>
        <w:jc w:val="both"/>
        <w:rPr/>
      </w:pPr>
      <w:r>
        <w:rPr>
          <w:b/>
          <w:bCs/>
          <w:sz w:val="24"/>
          <w:szCs w:val="24"/>
          <w:lang w:val="it-IT"/>
        </w:rPr>
        <w:t xml:space="preserve">Rimini, 21 agosto 2026. </w:t>
      </w:r>
      <w:r>
        <w:rPr>
          <w:sz w:val="24"/>
          <w:szCs w:val="24"/>
          <w:lang w:val="it-IT"/>
        </w:rPr>
        <w:t xml:space="preserve"> </w:t>
      </w:r>
      <w:r>
        <w:rPr>
          <w:rFonts w:ascii="Times New Roman" w:hAnsi="Times New Roman"/>
          <w:lang w:val="it-IT"/>
        </w:rPr>
        <w:t>La libertà di religione o di credo non riguarda soltanto le minoranze perseguitate e i luoghi di culto attaccati: protegge lo spazio più intimo nel quale ogni persona cerca il significato della propria esistenza e decide a che cosa affidare la vita. È il tema dell’incontro “La libertà di credere. Un diritto umano al centro delle sfide geopolitiche”, trasmesso in diretta sui canali digitali di Agenzia Nova e, in differita, Telepace Verona. L’appuntamento è stato promosso dalla Consulta Italiana per la Libertà di Religione o Credo, dalla Fondazione Internazionale Oasis, da Pro Terra Sancta e dalla Fondazione AVSI. Dopo il saluto introduttivo di Maria Cristiana Mele, coordinatrice per il Dialogo interreligioso in ambito internazionale, sono intervenuti Cristina Duranti, direttrice della Good Shepherd International Foundation; monsignor Matthew Hassan Kukah, vescovo della diocesi di Sokoto, in Nigeria; Mairead McGuinness, inviata speciale Unione Europea per la promozione della Libertà di Religione o di Credo. Ha moderato Andrea Avveduto, giornalista e portavoce della Consulta; le conclusioni sono state affidate alla presidente Daniela Canclini, presidente Consulta Italiana per la Libertà di Religione o di Credo. «La libertà religiosa è forse un indicatore della libertà di una società intera», ha osservato Avveduto: quando uno Stato stabilisce che determinate risposte non sono ammissibili, non limita soltanto una pratica, ma entra nella coscienza della persona. Da qui una responsabilità che coinvolge istituzioni, diplomazia, cooperazione e società civile.</w:t>
      </w:r>
    </w:p>
    <w:p>
      <w:pPr>
        <w:pStyle w:val="Normal"/>
        <w:keepNext w:val="true"/>
        <w:spacing w:before="80" w:after="40"/>
        <w:rPr/>
      </w:pPr>
      <w:r>
        <w:rPr>
          <w:rFonts w:ascii="Times New Roman" w:hAnsi="Times New Roman"/>
          <w:b/>
          <w:bCs/>
          <w:lang w:val="it-IT"/>
        </w:rPr>
        <w:t>Mele: conoscere il terreno, agire e coinvolgere la società civile</w:t>
      </w:r>
    </w:p>
    <w:p>
      <w:pPr>
        <w:pStyle w:val="Normal"/>
        <w:spacing w:before="0" w:after="120"/>
        <w:ind w:firstLine="340" w:left="0" w:right="0"/>
        <w:jc w:val="both"/>
        <w:rPr/>
      </w:pPr>
      <w:r>
        <w:rPr>
          <w:rFonts w:ascii="Times New Roman" w:hAnsi="Times New Roman"/>
          <w:lang w:val="it-IT"/>
        </w:rPr>
        <w:t>Mele ha illustrato l’impegno dell’Italia per la libertà di religione o di credo e per il dialogo interreligioso, indicati come settori prioritari della cooperazione internazionale. L’azione si sviluppa lungo tre direttrici: trattare organicamente l’elemento religioso nelle attività diplomatiche; assicurare la presenza italiana nelle sedi bilaterali e multilaterali; realizzare iniziative dedicate all’interazione tra Stati, soggetti religiosi e comunità di fede. Questo lavoro, ha spiegato, non può limitarsi alle dichiarazioni di principio, ma richiede di «conoscere il terreno, agire nelle sedi giuste e coinvolgere chi opera sul campo». Le organizzazioni e le reti civili arrivano infatti dove la diplomazia intergovernativa non può giungere e diventano partner cognitivi, fonti di informazione e canali di azione. Il fondo destinato alle minoranze cristiane perseguitate nelle aree di crisi ha stanziato, nell’ultimo bando, quasi 17 milioni di euro per interventi in 21 Paesi, dal Bangladesh al Sudan, dalla Siria al Libano. Per l’Italia libertà religiosa e dialogo interreligioso sono due facce della stessa medaglia: la libertà di credere può essere difesa soltanto creando le condizioni per la coesistenza di fedi diverse. Le comunità religiose sono inoltre ancoraggi di stabilità, reti di protezione e canali di riconciliazione nelle società attraversate da fratture. Difendere questo diritto significa dunque proteggere la dignità umana e aprire una via concreta alla pace.</w:t>
      </w:r>
    </w:p>
    <w:p>
      <w:pPr>
        <w:pStyle w:val="Normal"/>
        <w:keepNext w:val="true"/>
        <w:spacing w:before="80" w:after="40"/>
        <w:rPr/>
      </w:pPr>
      <w:r>
        <w:rPr>
          <w:rFonts w:ascii="Times New Roman" w:hAnsi="Times New Roman"/>
          <w:b/>
          <w:bCs/>
          <w:lang w:val="it-IT"/>
        </w:rPr>
        <w:t>McGuinness: l’Europa deve proiettare concretamente i propri valori</w:t>
      </w:r>
    </w:p>
    <w:p>
      <w:pPr>
        <w:pStyle w:val="Normal"/>
        <w:spacing w:before="0" w:after="120"/>
        <w:ind w:firstLine="340" w:left="0" w:right="0"/>
        <w:jc w:val="both"/>
        <w:rPr/>
      </w:pPr>
      <w:r>
        <w:rPr>
          <w:rFonts w:ascii="Times New Roman" w:hAnsi="Times New Roman"/>
          <w:lang w:val="it-IT"/>
        </w:rPr>
        <w:t>McGuinness ha ricordato che il mandato europeo comprende la libertà di professare una religione, di non averne alcuna e di cambiare credo senza subire persecuzioni. L’Unione promuove questi diritti fuori dai propri confini attraverso le delegazioni, il dialogo con le ONG e il confronto con i governi. «Dobbiamo parlarne, perché vediamo sempre più spesso come questo diritto fondamentale dell’uomo venga violato», ha affermato. I valori europei devono essere tradotti in iniziative visibili e sostenuti anche dal basso, dando voce a chi non può esercitare liberamente i propri diritti. Rispondendo alla domanda sul rapporto tra commercio e tutela delle minoranze, l’inviata speciale ha precisato che gli accordi dell’Unione non considerano soltanto gli effetti economici: i diritti umani costituiscono una componente essenziale dei negoziati e mantengono aperti canali attraverso cui sollevare violazioni e favorire miglioramenti. In alcuni Stati del Pakistan, ad esempio, sono stati registrati progressi sul contrasto ai matrimoni con minorenni e alle conversioni forzate anche grazie alla pressione europea. McGuinness ha riconosciuto che nel mondo sono in corso gravi arretramenti e che l’efficacia degli strumenti deve essere verificata con onestà. Per migliorare l’azione istituzionale occorre ascoltare chi opera direttamente nei territori: «Attraverso questo ascolto, come avviene oggi qui a Rimini, possiamo imparare a operare con maggiore efficacia».</w:t>
      </w:r>
    </w:p>
    <w:p>
      <w:pPr>
        <w:pStyle w:val="Normal"/>
        <w:keepNext w:val="true"/>
        <w:spacing w:before="80" w:after="40"/>
        <w:rPr/>
      </w:pPr>
      <w:r>
        <w:rPr>
          <w:rFonts w:ascii="Times New Roman" w:hAnsi="Times New Roman"/>
          <w:b/>
          <w:bCs/>
          <w:lang w:val="it-IT"/>
        </w:rPr>
        <w:t>Kukah: oltre le etichette religiose, le radici sociali e geopolitiche</w:t>
      </w:r>
    </w:p>
    <w:p>
      <w:pPr>
        <w:pStyle w:val="Normal"/>
        <w:spacing w:before="0" w:after="120"/>
        <w:ind w:firstLine="340" w:left="0" w:right="0"/>
        <w:jc w:val="both"/>
        <w:rPr/>
      </w:pPr>
      <w:r>
        <w:rPr>
          <w:rFonts w:ascii="Times New Roman" w:hAnsi="Times New Roman"/>
          <w:lang w:val="it-IT"/>
        </w:rPr>
        <w:t>Kukah ha invitato a distinguere i sintomi dalla malattia, nell’analizzare la situazione della Nigeria. Rapimenti, violenze e attacchi alle chiese non possono essere compresi senza la storia coloniale, la fragilità dello Stato, la povertà e l’uso dell’identità religiosa per conquistare e mantenere il potere. Il vescovo ha raccontato la risposta di una donna a chi le chiedeva se fosse cristiana o musulmana: «Più che altro ho fame, sono affamata». In molte aree il concetto di cittadinanza resta fragile e l’applicazione della legge è insufficiente; per questo il dialogo più urgente riguarda i problemi economici e sociali che segnano la quotidianità. Kukah ha ricordato l’esperienza di un pozzo aperto a tutti nella sua parrocchia: cristiani e musulmani, aspettando insieme l’acqua, parlavano e ridevano. A Sokoto, una struttura con 150 computer consente oggi ai giovani di entrambe le fedi di partecipare a un unico progetto. «La vera minaccia deriva dalle condizioni materiali di indigenza, e la pace potrà essere costruita solo migliorando concretamente la vita di queste persone», ha spiegato. Nella seconda parte del suo intervento ha denunciato la competizione internazionale per le risorse africane, i flussi finanziari illeciti e il rischio che conflitti presentati come etnici o confessionali nascondano interessi economici per i giacimenti di minerali rari. Il dialogo non può quindi limitarsi a incontri formali locali: l’Europa dovrebbe favorire una piattaforma globale capace di affrontare le ingiustizie economiche e le responsabilità delle grandi potenze.</w:t>
      </w:r>
    </w:p>
    <w:p>
      <w:pPr>
        <w:pStyle w:val="Normal"/>
        <w:keepNext w:val="true"/>
        <w:spacing w:before="80" w:after="40"/>
        <w:rPr/>
      </w:pPr>
      <w:r>
        <w:rPr>
          <w:rFonts w:ascii="Times New Roman" w:hAnsi="Times New Roman"/>
          <w:b/>
          <w:bCs/>
          <w:lang w:val="it-IT"/>
        </w:rPr>
        <w:t>Duranti: restare, ascoltare e difendere insieme tutti i diritti</w:t>
      </w:r>
    </w:p>
    <w:p>
      <w:pPr>
        <w:pStyle w:val="Normal"/>
        <w:spacing w:before="0" w:after="120"/>
        <w:ind w:firstLine="340" w:left="0" w:right="0"/>
        <w:jc w:val="both"/>
        <w:rPr/>
      </w:pPr>
      <w:r>
        <w:rPr>
          <w:rFonts w:ascii="Times New Roman" w:hAnsi="Times New Roman"/>
          <w:lang w:val="it-IT"/>
        </w:rPr>
        <w:t>Duranti ha portato l’esperienza di una fondazione che accompagna da vent’anni una congregazione religiosa femminile presente in 68 Paesi. Sul campo, ha osservato, le violazioni sono sempre multidimensionali: libertà religiosa, sussistenza, istruzione, salute, condizioni delle donne e protezione dei minori si intrecciano. «Pensare di isolare la libertà religiosa senza garantire l’accesso agli altri diritti fondamentali svuota di significato la libertà stessa», ha sottolineato. In Pakistan, quattordici religiose lavorano con ragazze e donne vittime di violenza, matrimoni forzati e conversioni coatte, costruendo nella discrezione relazioni di fiducia con l’intera popolazione. In Myanmar le comunità cattoliche continuano a soccorrere gli sfollati nonostante la repressione militare: alcune suore hanno camminato per giorni nella giungla per raggiungere le famiglie, mentre l’attività scolastica viene svolta di notte, in luoghi nascosti, dopo le lezioni ufficiali controllate dai militari. Rimanere significa appartenere al tessuto locale, valorizzarne le risorse e non imporre categorie esterne. Duranti ha richiamato anche la testimonianza di una religiosa keniana davanti all’OCSE sul lavoro minorile nelle miniere congolesi, capace di incrinare il muro delle negazioni. Le istituzioni, ha chiesto, non dovrebbero attendere uno scandalo mediatico per ascoltare queste voci. Il quadro europeo dei diritti resta un riferimento fondamentale, ma deve confrontarsi con i grandi interessi economici e sostenere chi continua a operare quando i riflettori si spengono.</w:t>
      </w:r>
    </w:p>
    <w:p>
      <w:pPr>
        <w:pStyle w:val="Normal"/>
        <w:keepNext w:val="true"/>
        <w:spacing w:before="80" w:after="40"/>
        <w:rPr/>
      </w:pPr>
      <w:r>
        <w:rPr>
          <w:rFonts w:ascii="Times New Roman" w:hAnsi="Times New Roman"/>
          <w:b/>
          <w:bCs/>
          <w:lang w:val="it-IT"/>
        </w:rPr>
        <w:t>Diritti fondamentali, bisogni primari e giustizia economica</w:t>
      </w:r>
    </w:p>
    <w:p>
      <w:pPr>
        <w:pStyle w:val="Normal"/>
        <w:spacing w:before="0" w:after="120"/>
        <w:ind w:firstLine="340" w:left="0" w:right="0"/>
        <w:jc w:val="both"/>
        <w:rPr/>
      </w:pPr>
      <w:r>
        <w:rPr>
          <w:rFonts w:ascii="Times New Roman" w:hAnsi="Times New Roman"/>
          <w:lang w:val="it-IT"/>
        </w:rPr>
        <w:t>Dal confronto è emerso che la libertà religiosa non può essere separata dalle condizioni materiali e dalle responsabilità geopolitiche. McGuinness ha ripreso l’immagine della persona che prima di definirsi cristiana o musulmana dichiara la propria fame, collegandola all’accesso all’acqua e alle altre libertà fondamentali. Kukah ha chiesto all’Europa non soltanto tavoli di dialogo, ma giustizia economica e strumenti contro chi beneficia delle risorse sottratte all’Africa. Duranti ha insistito sulla presenza stabile e sull’ascolto delle comunità locali, spesso oscurate dall’agenda mediatica. Mele ha indicato nella cooperazione tra istituzioni e società civile la possibilità di conoscere meglio i contesti e raggiungere le popolazioni perseguitate. Le comunità di fede possono così diventare luoghi di riconciliazione, ma soltanto se la loro azione non viene strumentalizzata e se ogni persona è riconosciuta come cittadina titolare degli stessi diritti. La libertà di credere assume quindi una rilevanza politica che va oltre la dimensione privata: è parte della prevenzione dei conflitti, della qualità democratica e della coesione sociale. Per tutelarla occorrono diplomazia, accordi internazionali coerenti, cooperazione allo sviluppo e partecipazione delle organizzazioni che operano nei territori. Soprattutto, occorre riconoscere che povertà, esclusione e sfruttamento alimentano le radicalizzazioni e trasformano le appartenenze religiose in strumenti di divisione.</w:t>
      </w:r>
    </w:p>
    <w:p>
      <w:pPr>
        <w:pStyle w:val="Normal"/>
        <w:keepNext w:val="true"/>
        <w:spacing w:before="80" w:after="40"/>
        <w:rPr/>
      </w:pPr>
      <w:r>
        <w:rPr>
          <w:rFonts w:ascii="Times New Roman" w:hAnsi="Times New Roman"/>
          <w:b/>
          <w:bCs/>
          <w:lang w:val="it-IT"/>
        </w:rPr>
        <w:t>Canclini: trasformare il dialogo in proposte concrete</w:t>
      </w:r>
    </w:p>
    <w:p>
      <w:pPr>
        <w:pStyle w:val="Normal"/>
        <w:spacing w:before="0" w:after="120"/>
        <w:ind w:firstLine="340" w:left="0" w:right="0"/>
        <w:jc w:val="both"/>
        <w:rPr/>
      </w:pPr>
      <w:r>
        <w:rPr>
          <w:rFonts w:ascii="Times New Roman" w:hAnsi="Times New Roman"/>
          <w:lang w:val="it-IT"/>
        </w:rPr>
        <w:t>Nelle conclusioni Canclini ha definito la libertà religiosa «un pilastro della dignità umana, dei diritti fondamentali e, in ultima analisi, della pace e della stabilità globale». Nel mondo un cristiano su sei subisce persecuzioni e donne e bambine pagano spesso il prezzo più alto quando marginalizzazione religiosa, povertà materiale ed esclusione sociale si sovrappongono. La Consulta riunisce organizzazioni differenti per storia e vocazione, accomunate dalla difesa di questo diritto inalienabile: Fondazione Oasis, Fondazione AVSI, Comunità di Sant’Egidio e Associazione Pro Terra Sancta. Il suo obiettivo è rafforzare l’impegno dell’Italia e accrescere la consapevolezza dell’opinione pubblica attraverso attività di sensibilizzazione, seminari e ricerca. La tutela della libertà religiosa, pur essendo strettamente legata alla prevenzione dei conflitti, resta spesso ai margini dell’informazione; la Consulta intende contrastare questo oblio non solo denunciando le violazioni, ma favorendo azioni preventive. Canclini ha ricordato che mentre l’anno scorso, dal palco del Meeting, era stata evidenziata l’assenza dell’inviato speciale Unione Europea per la promozione della Libertà di Religione o di Credo, oggi, nella persona di Mairead McGuinness, l’inviato speciale è presente tra i relatori. Il compito della Consulta è proprio stimolare le istituzioni affinché le questioni trascurate diventino priorità politiche. L’incontro ha così costruito una sinergia tra diplomazia e società civile, testimonianze locali e responsabilità internazionali: difendere la libertà religiosa significa custodire per ogni persona e per ogni comunità uno spazio di incontro, convivenza e pace.</w:t>
      </w:r>
    </w:p>
    <w:p>
      <w:pPr>
        <w:pStyle w:val="Normal"/>
        <w:spacing w:lineRule="auto" w:line="276"/>
        <w:jc w:val="both"/>
        <w:rPr>
          <w:sz w:val="24"/>
          <w:szCs w:val="24"/>
        </w:rPr>
      </w:pPr>
      <w:r>
        <w:rPr>
          <w:sz w:val="24"/>
          <w:szCs w:val="24"/>
        </w:rPr>
      </w:r>
    </w:p>
    <w:p>
      <w:pPr>
        <w:pStyle w:val="Normal"/>
        <w:jc w:val="center"/>
        <w:rPr>
          <w:outline w:val="false"/>
          <w:color w:val="000000"/>
          <w:sz w:val="20"/>
          <w:szCs w:val="20"/>
          <w:u w:val="none" w:color="000000"/>
        </w:rPr>
      </w:pPr>
      <w:r>
        <w:rPr>
          <w:b/>
          <w:bCs/>
          <w:outline w:val="false"/>
          <w:color w:val="000000"/>
          <w:u w:val="none" w:color="000000"/>
          <w:lang w:val="it-IT"/>
        </w:rPr>
        <w:t>Fondazione Meeting per l’amicizia fra i popoli ETS</w:t>
      </w:r>
      <w:r>
        <w:rPr>
          <w:outline w:val="false"/>
          <w:color w:val="000000"/>
          <w:u w:val="none" w:color="000000"/>
        </w:rPr>
        <w:br/>
      </w:r>
      <w:r>
        <w:rPr>
          <w:outline w:val="false"/>
          <w:color w:val="000000"/>
          <w:sz w:val="20"/>
          <w:szCs w:val="20"/>
          <w:u w:val="none" w:color="000000"/>
          <w:lang w:val="it-IT"/>
        </w:rPr>
        <w:t xml:space="preserve">via Flaminia, 18/20 – 47923 Rimini | tel. +39 0541 783100 </w:t>
      </w:r>
    </w:p>
    <w:p>
      <w:pPr>
        <w:pStyle w:val="Normal"/>
        <w:jc w:val="center"/>
        <w:rPr>
          <w:rStyle w:val="Hyperlink0"/>
        </w:rPr>
      </w:pPr>
      <w:hyperlink r:id="rId2">
        <w:r>
          <w:rPr>
            <w:rStyle w:val="Style9"/>
            <w:outline w:val="false"/>
            <w:color w:val="0563C1"/>
            <w:sz w:val="20"/>
            <w:sz w:val="20"/>
            <w:szCs w:val="20"/>
            <w:u w:val="single" w:color="0563C1"/>
            <w:lang w:val="it-IT"/>
          </w:rPr>
          <w:t>meeting@meetingrimini.org</w:t>
        </w:r>
      </w:hyperlink>
      <w:r>
        <w:rPr>
          <w:rStyle w:val="Nessuno"/>
          <w:outline w:val="false"/>
          <w:color w:val="000000"/>
          <w:sz w:val="20"/>
          <w:szCs w:val="20"/>
          <w:u w:val="none" w:color="000000"/>
          <w:lang w:val="it-IT"/>
        </w:rPr>
        <w:t xml:space="preserve">       </w:t>
      </w:r>
      <w:hyperlink r:id="rId3">
        <w:r>
          <w:rPr>
            <w:rStyle w:val="Style9"/>
            <w:outline w:val="false"/>
            <w:color w:val="0563C1"/>
            <w:sz w:val="20"/>
            <w:sz w:val="20"/>
            <w:szCs w:val="20"/>
            <w:u w:val="single" w:color="0563C1"/>
            <w:lang w:val="it-IT"/>
          </w:rPr>
          <w:t>www.meetingrimini.org</w:t>
        </w:r>
      </w:hyperlink>
    </w:p>
    <w:p>
      <w:pPr>
        <w:pStyle w:val="Normal"/>
        <w:jc w:val="center"/>
        <w:rPr>
          <w:rStyle w:val="Nessuno"/>
          <w:outline w:val="false"/>
          <w:color w:val="0563C1"/>
          <w:sz w:val="20"/>
          <w:szCs w:val="20"/>
          <w:u w:val="single" w:color="0563C1"/>
        </w:rPr>
      </w:pPr>
      <w:r>
        <w:rPr>
          <w:outline w:val="false"/>
          <w:color w:val="0563C1"/>
          <w:sz w:val="20"/>
          <w:szCs w:val="20"/>
          <w:u w:val="single" w:color="0563C1"/>
        </w:rPr>
      </w:r>
    </w:p>
    <w:p>
      <w:pPr>
        <w:pStyle w:val="Normal"/>
        <w:jc w:val="center"/>
        <w:rPr>
          <w:rStyle w:val="Nessuno"/>
          <w:outline w:val="false"/>
          <w:color w:val="000000"/>
          <w:sz w:val="20"/>
          <w:szCs w:val="20"/>
          <w:u w:val="none" w:color="000000"/>
        </w:rPr>
      </w:pPr>
      <w:r>
        <w:rPr>
          <w:outline w:val="false"/>
          <w:color w:val="000000"/>
          <w:sz w:val="20"/>
          <w:szCs w:val="20"/>
          <w:u w:val="none" w:color="000000"/>
        </w:rPr>
      </w:r>
    </w:p>
    <w:tbl>
      <w:tblPr>
        <w:tblW w:w="9830" w:type="dxa"/>
        <w:jc w:val="center"/>
        <w:tblInd w:w="0" w:type="dxa"/>
        <w:tblLayout w:type="fixed"/>
        <w:tblCellMar>
          <w:top w:w="80" w:type="dxa"/>
          <w:left w:w="80" w:type="dxa"/>
          <w:bottom w:w="80" w:type="dxa"/>
          <w:right w:w="80" w:type="dxa"/>
        </w:tblCellMar>
      </w:tblPr>
      <w:tblGrid>
        <w:gridCol w:w="2826"/>
        <w:gridCol w:w="3625"/>
        <w:gridCol w:w="3379"/>
      </w:tblGrid>
      <w:tr>
        <w:trPr>
          <w:trHeight w:val="1791" w:hRule="atLeast"/>
        </w:trPr>
        <w:tc>
          <w:tcPr>
            <w:tcW w:w="2826" w:type="dxa"/>
            <w:tcBorders/>
            <w:shd w:color="auto" w:fill="auto" w:val="clear"/>
          </w:tcPr>
          <w:p>
            <w:pPr>
              <w:pStyle w:val="Normal"/>
              <w:rPr/>
            </w:pPr>
            <w:r>
              <w:rPr/>
              <w:drawing>
                <wp:inline distT="0" distB="0" distL="0" distR="0">
                  <wp:extent cx="1356360" cy="339725"/>
                  <wp:effectExtent l="0" t="0" r="0" b="0"/>
                  <wp:docPr id="1" name="officeArt object" descr="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fficeArt object" descr="image7.png"/>
                          <pic:cNvPicPr>
                            <a:picLocks noChangeAspect="1" noChangeArrowheads="1"/>
                          </pic:cNvPicPr>
                        </pic:nvPicPr>
                        <pic:blipFill>
                          <a:blip r:embed="rId4"/>
                          <a:stretch>
                            <a:fillRect/>
                          </a:stretch>
                        </pic:blipFill>
                        <pic:spPr bwMode="auto">
                          <a:xfrm>
                            <a:off x="0" y="0"/>
                            <a:ext cx="1356360" cy="339725"/>
                          </a:xfrm>
                          <a:prstGeom prst="rect">
                            <a:avLst/>
                          </a:prstGeom>
                          <a:noFill/>
                        </pic:spPr>
                      </pic:pic>
                    </a:graphicData>
                  </a:graphic>
                </wp:inline>
              </w:drawing>
            </w:r>
          </w:p>
        </w:tc>
        <w:tc>
          <w:tcPr>
            <w:tcW w:w="3625" w:type="dxa"/>
            <w:tcBorders/>
            <w:shd w:color="auto" w:fill="auto" w:val="clear"/>
          </w:tcPr>
          <w:p>
            <w:pPr>
              <w:pStyle w:val="Normal"/>
              <w:jc w:val="center"/>
              <w:rPr>
                <w:rStyle w:val="Nessuno"/>
                <w:shd w:fill="auto" w:val="clear"/>
              </w:rPr>
            </w:pPr>
            <w:r>
              <w:rPr>
                <w:rStyle w:val="Nessuno"/>
                <w:b/>
                <w:bCs/>
                <w:shd w:fill="auto" w:val="clear"/>
                <w:lang w:val="it-IT"/>
              </w:rPr>
              <w:t>Ufficio stampa Meeting di Rimini</w:t>
            </w:r>
          </w:p>
          <w:p>
            <w:pPr>
              <w:pStyle w:val="Normal"/>
              <w:jc w:val="center"/>
              <w:rPr>
                <w:rStyle w:val="Nessuno"/>
                <w:shd w:fill="auto" w:val="clear"/>
                <w:lang w:val="it-IT"/>
              </w:rPr>
            </w:pPr>
            <w:r>
              <w:rPr>
                <w:shd w:fill="auto" w:val="clear"/>
                <w:lang w:val="it-IT"/>
              </w:rPr>
            </w:r>
          </w:p>
          <w:p>
            <w:pPr>
              <w:pStyle w:val="Normal"/>
              <w:bidi w:val="0"/>
              <w:ind w:hanging="0" w:left="0" w:right="0"/>
              <w:jc w:val="center"/>
              <w:rPr/>
            </w:pPr>
            <w:r>
              <w:rPr>
                <w:rStyle w:val="Nessuno"/>
                <w:b/>
                <w:bCs/>
                <w:sz w:val="22"/>
                <w:szCs w:val="22"/>
                <w:shd w:fill="auto" w:val="clear"/>
                <w:lang w:val="it-IT"/>
              </w:rPr>
              <w:t>Eugenio Andreatta</w:t>
            </w:r>
            <w:r>
              <w:rPr>
                <w:rStyle w:val="Nessuno"/>
                <w:sz w:val="22"/>
                <w:szCs w:val="22"/>
                <w:shd w:fill="auto" w:val="clear"/>
                <w:lang w:val="it-IT"/>
              </w:rPr>
              <w:br/>
            </w:r>
            <w:r>
              <w:rPr>
                <w:rStyle w:val="Nessuno"/>
                <w:i/>
                <w:iCs/>
                <w:sz w:val="20"/>
                <w:szCs w:val="20"/>
                <w:shd w:fill="auto" w:val="clear"/>
                <w:lang w:val="it-IT"/>
              </w:rPr>
              <w:t>Responsabile Comunicazione</w:t>
            </w:r>
            <w:r>
              <w:rPr>
                <w:rStyle w:val="Nessuno"/>
                <w:sz w:val="20"/>
                <w:szCs w:val="20"/>
                <w:shd w:fill="auto" w:val="clear"/>
                <w:lang w:val="it-IT"/>
              </w:rPr>
              <w:t xml:space="preserve"> </w:t>
              <w:br/>
              <w:t>+ 39 329 9540695</w:t>
              <w:br/>
            </w:r>
            <w:hyperlink r:id="rId5">
              <w:r>
                <w:rPr>
                  <w:rStyle w:val="Style9"/>
                  <w:rFonts w:ascii="Calibri" w:hAnsi="Calibri" w:eastAsia="Calibri" w:cs="Calibri"/>
                  <w:outline w:val="false"/>
                  <w:color w:val="0563C1"/>
                  <w:sz w:val="20"/>
                  <w:szCs w:val="20"/>
                  <w:u w:val="single" w:color="0563C1"/>
                  <w:shd w:fill="auto" w:val="clear"/>
                  <w:lang w:val="it-IT"/>
                </w:rPr>
                <w:t>eugenio.andreatta@meetingrimini.org</w:t>
              </w:r>
            </w:hyperlink>
          </w:p>
        </w:tc>
        <w:tc>
          <w:tcPr>
            <w:tcW w:w="3379" w:type="dxa"/>
            <w:tcBorders/>
            <w:shd w:color="auto" w:fill="auto" w:val="clear"/>
          </w:tcPr>
          <w:p>
            <w:pPr>
              <w:pStyle w:val="Normal"/>
              <w:rPr/>
            </w:pPr>
            <w:r>
              <w:rPr/>
            </w:r>
          </w:p>
        </w:tc>
      </w:tr>
      <w:tr>
        <w:trPr>
          <w:trHeight w:val="507" w:hRule="atLeast"/>
        </w:trPr>
        <w:tc>
          <w:tcPr>
            <w:tcW w:w="2826" w:type="dxa"/>
            <w:tcBorders/>
            <w:shd w:color="auto" w:fill="auto" w:val="clear"/>
          </w:tcPr>
          <w:p>
            <w:pPr>
              <w:pStyle w:val="Normal"/>
              <w:rPr/>
            </w:pPr>
            <w:r>
              <w:rPr/>
              <w:drawing>
                <wp:inline distT="0" distB="0" distL="0" distR="0">
                  <wp:extent cx="1640205" cy="264795"/>
                  <wp:effectExtent l="0" t="0" r="0" b="0"/>
                  <wp:docPr id="2" name="Immagine2" descr="Comin and Partners - Agenzia di comunicazione e relazioni istituziona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2" descr="Comin and Partners - Agenzia di comunicazione e relazioni istituzionali"/>
                          <pic:cNvPicPr>
                            <a:picLocks noChangeAspect="1" noChangeArrowheads="1"/>
                          </pic:cNvPicPr>
                        </pic:nvPicPr>
                        <pic:blipFill>
                          <a:blip r:embed="rId6"/>
                          <a:stretch>
                            <a:fillRect/>
                          </a:stretch>
                        </pic:blipFill>
                        <pic:spPr bwMode="auto">
                          <a:xfrm>
                            <a:off x="0" y="0"/>
                            <a:ext cx="1640205" cy="264795"/>
                          </a:xfrm>
                          <a:prstGeom prst="rect">
                            <a:avLst/>
                          </a:prstGeom>
                          <a:noFill/>
                        </pic:spPr>
                      </pic:pic>
                    </a:graphicData>
                  </a:graphic>
                </wp:inline>
              </w:drawing>
            </w:r>
          </w:p>
        </w:tc>
        <w:tc>
          <w:tcPr>
            <w:tcW w:w="3625" w:type="dxa"/>
            <w:tcBorders/>
            <w:shd w:color="auto" w:fill="auto" w:val="clear"/>
          </w:tcPr>
          <w:p>
            <w:pPr>
              <w:pStyle w:val="Normal"/>
              <w:jc w:val="center"/>
              <w:rPr/>
            </w:pPr>
            <w:r>
              <w:rPr>
                <w:rStyle w:val="Nessuno"/>
                <w:b/>
                <w:bCs/>
                <w:shd w:fill="auto" w:val="clear"/>
                <w:lang w:val="it-IT"/>
              </w:rPr>
              <w:t>Ufficio stampa Comin &amp; Partners</w:t>
            </w:r>
          </w:p>
        </w:tc>
        <w:tc>
          <w:tcPr>
            <w:tcW w:w="3379" w:type="dxa"/>
            <w:tcBorders/>
            <w:shd w:color="auto" w:fill="auto" w:val="clear"/>
          </w:tcPr>
          <w:p>
            <w:pPr>
              <w:pStyle w:val="Normal"/>
              <w:rPr/>
            </w:pPr>
            <w:r>
              <w:rPr/>
            </w:r>
          </w:p>
        </w:tc>
      </w:tr>
      <w:tr>
        <w:trPr>
          <w:trHeight w:val="1531" w:hRule="atLeast"/>
        </w:trPr>
        <w:tc>
          <w:tcPr>
            <w:tcW w:w="2826" w:type="dxa"/>
            <w:tcBorders/>
            <w:shd w:color="auto" w:fill="auto" w:val="clear"/>
          </w:tcPr>
          <w:p>
            <w:pPr>
              <w:pStyle w:val="Normal"/>
              <w:rPr/>
            </w:pPr>
            <w:r>
              <w:rPr/>
            </w:r>
          </w:p>
        </w:tc>
        <w:tc>
          <w:tcPr>
            <w:tcW w:w="3625" w:type="dxa"/>
            <w:tcBorders/>
            <w:shd w:color="auto" w:fill="auto" w:val="clear"/>
          </w:tcPr>
          <w:p>
            <w:pPr>
              <w:pStyle w:val="Normal"/>
              <w:jc w:val="center"/>
              <w:rPr>
                <w:rStyle w:val="Nessuno"/>
                <w:shd w:fill="auto" w:val="clear"/>
              </w:rPr>
            </w:pPr>
            <w:r>
              <w:rPr>
                <w:rStyle w:val="Nessuno"/>
                <w:b/>
                <w:bCs/>
                <w:shd w:fill="auto" w:val="clear"/>
                <w:lang w:val="it-IT"/>
              </w:rPr>
              <w:t>Federico Fabretti</w:t>
            </w:r>
          </w:p>
          <w:p>
            <w:pPr>
              <w:pStyle w:val="Normal"/>
              <w:bidi w:val="0"/>
              <w:ind w:hanging="0" w:left="0" w:right="0"/>
              <w:jc w:val="center"/>
              <w:rPr>
                <w:rStyle w:val="Nessuno"/>
                <w:sz w:val="20"/>
                <w:szCs w:val="20"/>
                <w:shd w:fill="auto" w:val="clear"/>
              </w:rPr>
            </w:pPr>
            <w:r>
              <w:rPr>
                <w:rStyle w:val="Nessuno"/>
                <w:i/>
                <w:iCs/>
                <w:sz w:val="20"/>
                <w:szCs w:val="20"/>
                <w:shd w:fill="auto" w:val="clear"/>
                <w:lang w:val="it-IT"/>
              </w:rPr>
              <w:t>Partner Media Relations</w:t>
            </w:r>
          </w:p>
          <w:p>
            <w:pPr>
              <w:pStyle w:val="Normal"/>
              <w:bidi w:val="0"/>
              <w:ind w:hanging="0" w:left="0" w:right="0"/>
              <w:jc w:val="center"/>
              <w:rPr>
                <w:rStyle w:val="Nessuno"/>
                <w:sz w:val="20"/>
                <w:szCs w:val="20"/>
                <w:shd w:fill="auto" w:val="clear"/>
              </w:rPr>
            </w:pPr>
            <w:r>
              <w:rPr>
                <w:rStyle w:val="Nessuno"/>
                <w:sz w:val="20"/>
                <w:szCs w:val="20"/>
                <w:shd w:fill="auto" w:val="clear"/>
                <w:lang w:val="it-IT"/>
              </w:rPr>
              <w:t>+39 06 90255555       + 39 335 753 4768</w:t>
            </w:r>
          </w:p>
          <w:p>
            <w:pPr>
              <w:pStyle w:val="Normal"/>
              <w:bidi w:val="0"/>
              <w:ind w:hanging="0" w:left="0" w:right="0"/>
              <w:jc w:val="center"/>
              <w:rPr>
                <w:rStyle w:val="Nessuno"/>
                <w:sz w:val="20"/>
                <w:szCs w:val="20"/>
                <w:shd w:fill="auto" w:val="clear"/>
              </w:rPr>
            </w:pPr>
            <w:hyperlink r:id="rId7">
              <w:r>
                <w:rPr>
                  <w:rStyle w:val="Style9"/>
                  <w:rFonts w:ascii="Calibri" w:hAnsi="Calibri" w:eastAsia="Calibri" w:cs="Calibri"/>
                  <w:outline w:val="false"/>
                  <w:color w:val="0563C1"/>
                  <w:sz w:val="20"/>
                  <w:szCs w:val="20"/>
                  <w:u w:val="single" w:color="0563C1"/>
                  <w:shd w:fill="auto" w:val="clear"/>
                  <w:lang w:val="it-IT"/>
                </w:rPr>
                <w:t>federico.fabretti@cominandpartners.com</w:t>
              </w:r>
            </w:hyperlink>
          </w:p>
          <w:p>
            <w:pPr>
              <w:pStyle w:val="Normal"/>
              <w:jc w:val="center"/>
              <w:rPr/>
            </w:pPr>
            <w:r>
              <w:rPr/>
            </w:r>
          </w:p>
        </w:tc>
        <w:tc>
          <w:tcPr>
            <w:tcW w:w="3379" w:type="dxa"/>
            <w:tcBorders/>
            <w:shd w:color="auto" w:fill="auto" w:val="clear"/>
          </w:tcPr>
          <w:p>
            <w:pPr>
              <w:pStyle w:val="Normal"/>
              <w:jc w:val="center"/>
              <w:rPr>
                <w:rStyle w:val="Nessuno"/>
                <w:b/>
                <w:bCs/>
                <w:sz w:val="24"/>
                <w:szCs w:val="24"/>
                <w:shd w:fill="auto" w:val="clear"/>
              </w:rPr>
            </w:pPr>
            <w:r>
              <w:rPr>
                <w:rStyle w:val="Nessuno"/>
                <w:b/>
                <w:bCs/>
                <w:sz w:val="22"/>
                <w:szCs w:val="22"/>
                <w:shd w:fill="auto" w:val="clear"/>
                <w:lang w:val="it-IT"/>
              </w:rPr>
              <w:t>Adriano Dossi</w:t>
            </w:r>
          </w:p>
          <w:p>
            <w:pPr>
              <w:pStyle w:val="Normal"/>
              <w:bidi w:val="0"/>
              <w:ind w:hanging="0" w:left="0" w:right="0"/>
              <w:jc w:val="center"/>
              <w:rPr>
                <w:rStyle w:val="Nessuno"/>
                <w:sz w:val="20"/>
                <w:szCs w:val="20"/>
                <w:shd w:fill="auto" w:val="clear"/>
              </w:rPr>
            </w:pPr>
            <w:r>
              <w:rPr>
                <w:rStyle w:val="Nessuno"/>
                <w:i/>
                <w:iCs/>
                <w:sz w:val="20"/>
                <w:szCs w:val="20"/>
                <w:shd w:fill="auto" w:val="clear"/>
                <w:lang w:val="it-IT"/>
              </w:rPr>
              <w:t>Senior Media Relations Consultant</w:t>
            </w:r>
          </w:p>
          <w:p>
            <w:pPr>
              <w:pStyle w:val="Normal"/>
              <w:bidi w:val="0"/>
              <w:ind w:hanging="0" w:left="0" w:right="0"/>
              <w:jc w:val="center"/>
              <w:rPr>
                <w:rStyle w:val="Nessuno"/>
                <w:sz w:val="20"/>
                <w:szCs w:val="20"/>
                <w:shd w:fill="auto" w:val="clear"/>
              </w:rPr>
            </w:pPr>
            <w:r>
              <w:rPr>
                <w:rStyle w:val="Nessuno"/>
                <w:sz w:val="20"/>
                <w:szCs w:val="20"/>
                <w:shd w:fill="auto" w:val="clear"/>
                <w:lang w:val="it-IT"/>
              </w:rPr>
              <w:t>+ 39 342 8443819</w:t>
            </w:r>
          </w:p>
          <w:p>
            <w:pPr>
              <w:pStyle w:val="Normal"/>
              <w:bidi w:val="0"/>
              <w:ind w:hanging="0" w:left="0" w:right="0"/>
              <w:jc w:val="center"/>
              <w:rPr/>
            </w:pPr>
            <w:hyperlink r:id="rId8">
              <w:r>
                <w:rPr>
                  <w:rStyle w:val="Style9"/>
                  <w:rFonts w:ascii="Calibri" w:hAnsi="Calibri" w:eastAsia="Calibri" w:cs="Calibri"/>
                  <w:b w:val="false"/>
                  <w:bCs w:val="false"/>
                  <w:outline w:val="false"/>
                  <w:color w:val="0563C1"/>
                  <w:sz w:val="20"/>
                  <w:szCs w:val="20"/>
                  <w:u w:val="single" w:color="0563C1"/>
                  <w:shd w:fill="auto" w:val="clear"/>
                  <w:lang w:val="it-IT"/>
                </w:rPr>
                <w:t>adriano.dossi@cominandpartners.com</w:t>
              </w:r>
            </w:hyperlink>
          </w:p>
        </w:tc>
      </w:tr>
    </w:tbl>
    <w:p>
      <w:pPr>
        <w:pStyle w:val="Normal"/>
        <w:widowControl w:val="false"/>
        <w:jc w:val="center"/>
        <w:rPr>
          <w:rStyle w:val="Nessuno"/>
          <w:outline w:val="false"/>
          <w:color w:val="000000"/>
          <w:sz w:val="20"/>
          <w:szCs w:val="20"/>
          <w:u w:val="none" w:color="000000"/>
        </w:rPr>
      </w:pPr>
      <w:r>
        <w:rPr>
          <w:outline w:val="false"/>
          <w:color w:val="000000"/>
          <w:sz w:val="20"/>
          <w:szCs w:val="20"/>
          <w:u w:val="none" w:color="000000"/>
        </w:rPr>
      </w:r>
    </w:p>
    <w:p>
      <w:pPr>
        <w:pStyle w:val="Normal"/>
        <w:rPr/>
      </w:pPr>
      <w:r>
        <w:rPr/>
      </w:r>
    </w:p>
    <w:p>
      <w:pPr>
        <w:pStyle w:val="Normal"/>
        <w:rPr/>
      </w:pPr>
      <w:r>
        <w:rPr/>
      </w:r>
    </w:p>
    <w:tbl>
      <w:tblPr>
        <w:tblW w:w="9204" w:type="dxa"/>
        <w:jc w:val="left"/>
        <w:tblInd w:w="108" w:type="dxa"/>
        <w:tblLayout w:type="fixed"/>
        <w:tblCellMar>
          <w:top w:w="80" w:type="dxa"/>
          <w:left w:w="80" w:type="dxa"/>
          <w:bottom w:w="80" w:type="dxa"/>
          <w:right w:w="80" w:type="dxa"/>
        </w:tblCellMar>
      </w:tblPr>
      <w:tblGrid>
        <w:gridCol w:w="4602"/>
        <w:gridCol w:w="4601"/>
      </w:tblGrid>
      <w:tr>
        <w:trPr>
          <w:trHeight w:val="231" w:hRule="atLeast"/>
        </w:trPr>
        <w:tc>
          <w:tcPr>
            <w:tcW w:w="4602" w:type="dxa"/>
            <w:tcBorders/>
            <w:shd w:color="auto" w:fill="auto" w:val="clear"/>
          </w:tcPr>
          <w:p>
            <w:pPr>
              <w:pStyle w:val="Normal"/>
              <w:rPr/>
            </w:pPr>
            <w:r>
              <w:rPr/>
            </w:r>
          </w:p>
        </w:tc>
        <w:tc>
          <w:tcPr>
            <w:tcW w:w="4601" w:type="dxa"/>
            <w:tcBorders/>
            <w:shd w:color="auto" w:fill="auto" w:val="clear"/>
          </w:tcPr>
          <w:p>
            <w:pPr>
              <w:pStyle w:val="Normal"/>
              <w:rPr/>
            </w:pPr>
            <w:r>
              <w:rPr/>
            </w:r>
          </w:p>
        </w:tc>
      </w:tr>
      <w:tr>
        <w:trPr>
          <w:trHeight w:val="231" w:hRule="atLeast"/>
        </w:trPr>
        <w:tc>
          <w:tcPr>
            <w:tcW w:w="4602" w:type="dxa"/>
            <w:tcBorders/>
            <w:shd w:color="auto" w:fill="auto" w:val="clear"/>
          </w:tcPr>
          <w:p>
            <w:pPr>
              <w:pStyle w:val="Normal"/>
              <w:rPr/>
            </w:pPr>
            <w:r>
              <w:rPr/>
            </w:r>
          </w:p>
        </w:tc>
        <w:tc>
          <w:tcPr>
            <w:tcW w:w="4601" w:type="dxa"/>
            <w:tcBorders/>
            <w:shd w:color="auto" w:fill="auto" w:val="clear"/>
          </w:tcPr>
          <w:p>
            <w:pPr>
              <w:pStyle w:val="Normal"/>
              <w:rPr/>
            </w:pPr>
            <w:r>
              <w:rPr/>
            </w:r>
          </w:p>
        </w:tc>
      </w:tr>
    </w:tbl>
    <w:p>
      <w:pPr>
        <w:pStyle w:val="Normal"/>
        <w:widowControl w:val="false"/>
        <w:rPr/>
      </w:pPr>
      <w:r>
        <w:rPr/>
      </w:r>
    </w:p>
    <w:sectPr>
      <w:headerReference w:type="even" r:id="rId9"/>
      <w:headerReference w:type="default" r:id="rId10"/>
      <w:headerReference w:type="first" r:id="rId11"/>
      <w:footerReference w:type="even" r:id="rId12"/>
      <w:footerReference w:type="default" r:id="rId13"/>
      <w:footerReference w:type="first" r:id="rId14"/>
      <w:type w:val="nextPage"/>
      <w:pgSz w:w="11906" w:h="16838"/>
      <w:pgMar w:left="1134" w:right="1134" w:gutter="0" w:header="708" w:top="2127" w:footer="708" w:bottom="1985"/>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sz w:val="8"/>
        <w:szCs w:val="8"/>
      </w:rPr>
    </w:pPr>
    <w:r>
      <w:rPr>
        <w:sz w:val="8"/>
        <w:szCs w:val="8"/>
      </w:rPr>
    </w:r>
  </w:p>
  <w:p>
    <w:pPr>
      <w:pStyle w:val="Normal"/>
      <w:tabs>
        <w:tab w:val="clear" w:pos="720"/>
        <w:tab w:val="center" w:pos="4819" w:leader="none"/>
        <w:tab w:val="right" w:pos="9638" w:leader="none"/>
      </w:tabs>
      <w:bidi w:val="0"/>
      <w:ind w:hanging="0" w:left="0" w:right="0"/>
      <w:jc w:val="center"/>
      <w:rPr>
        <w:sz w:val="16"/>
        <w:szCs w:val="16"/>
        <w:shd w:fill="auto" w:val="clear"/>
        <w:lang w:val="it-IT"/>
      </w:rPr>
    </w:pPr>
    <w:r>
      <w:rPr>
        <w:sz w:val="22"/>
        <w:szCs w:val="22"/>
        <w:shd w:fill="auto" w:val="clear"/>
        <w:lang w:val="it-IT"/>
      </w:rPr>
      <w:t>Communication Partner</w:t>
      <w:tab/>
    </w:r>
    <w:r>
      <w:rPr>
        <w:sz w:val="16"/>
        <w:szCs w:val="16"/>
        <w:shd w:fill="auto" w:val="clear"/>
        <w:lang w:val="it-IT"/>
      </w:rPr>
      <w:t>News Agencies Partner</w:t>
    </w:r>
  </w:p>
  <w:p>
    <w:pPr>
      <w:pStyle w:val="Normal"/>
      <w:tabs>
        <w:tab w:val="clear" w:pos="720"/>
        <w:tab w:val="center" w:pos="4819" w:leader="none"/>
        <w:tab w:val="right" w:pos="9638" w:leader="none"/>
      </w:tabs>
      <w:bidi w:val="0"/>
      <w:ind w:hanging="0" w:left="0" w:right="0"/>
      <w:jc w:val="center"/>
      <w:rPr/>
    </w:pPr>
    <w:r>
      <w:rPr/>
      <w:drawing>
        <wp:inline distT="0" distB="0" distL="0" distR="0">
          <wp:extent cx="1692910" cy="310515"/>
          <wp:effectExtent l="0" t="0" r="0" b="0"/>
          <wp:docPr id="5" name="Immagine4" descr="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4" descr="image1.png"/>
                  <pic:cNvPicPr>
                    <a:picLocks noChangeAspect="1" noChangeArrowheads="1"/>
                  </pic:cNvPicPr>
                </pic:nvPicPr>
                <pic:blipFill>
                  <a:blip r:embed="rId1"/>
                  <a:srcRect l="4693" t="41052" r="78685" b="34442"/>
                  <a:stretch>
                    <a:fillRect/>
                  </a:stretch>
                </pic:blipFill>
                <pic:spPr bwMode="auto">
                  <a:xfrm>
                    <a:off x="0" y="0"/>
                    <a:ext cx="1692910" cy="310515"/>
                  </a:xfrm>
                  <a:prstGeom prst="rect">
                    <a:avLst/>
                  </a:prstGeom>
                  <a:noFill/>
                </pic:spPr>
              </pic:pic>
            </a:graphicData>
          </a:graphic>
        </wp:inline>
      </w:drawing>
    </w:r>
    <w:r>
      <w:rPr>
        <w:sz w:val="22"/>
        <w:szCs w:val="22"/>
        <w:shd w:fill="auto" w:val="clear"/>
      </w:rPr>
      <w:tab/>
    </w:r>
    <w:r>
      <w:rPr>
        <w:sz w:val="16"/>
        <w:szCs w:val="16"/>
        <w:shd w:fill="auto" w:val="clear"/>
        <w:lang w:val="it-IT"/>
      </w:rPr>
      <w:t xml:space="preserve">  </w:t>
    </w:r>
    <w:r>
      <w:rPr/>
      <w:drawing>
        <wp:inline distT="0" distB="0" distL="0" distR="0">
          <wp:extent cx="346710" cy="348615"/>
          <wp:effectExtent l="0" t="0" r="0" b="0"/>
          <wp:docPr id="6" name="Immagine5" descr="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5" descr="image3.png"/>
                  <pic:cNvPicPr>
                    <a:picLocks noChangeAspect="1" noChangeArrowheads="1"/>
                  </pic:cNvPicPr>
                </pic:nvPicPr>
                <pic:blipFill>
                  <a:blip r:embed="rId2"/>
                  <a:stretch>
                    <a:fillRect/>
                  </a:stretch>
                </pic:blipFill>
                <pic:spPr bwMode="auto">
                  <a:xfrm>
                    <a:off x="0" y="0"/>
                    <a:ext cx="346710" cy="348615"/>
                  </a:xfrm>
                  <a:prstGeom prst="rect">
                    <a:avLst/>
                  </a:prstGeom>
                  <a:noFill/>
                </pic:spPr>
              </pic:pic>
            </a:graphicData>
          </a:graphic>
        </wp:inline>
      </w:drawing>
    </w:r>
    <w:r>
      <w:rPr>
        <w:sz w:val="16"/>
        <w:szCs w:val="16"/>
        <w:shd w:fill="auto" w:val="clear"/>
        <w:lang w:val="it-IT"/>
      </w:rPr>
      <w:t xml:space="preserve"> </w:t>
    </w:r>
    <w:r>
      <w:rPr/>
      <w:drawing>
        <wp:inline distT="0" distB="0" distL="0" distR="0">
          <wp:extent cx="1016000" cy="198120"/>
          <wp:effectExtent l="0" t="0" r="0" b="0"/>
          <wp:docPr id="7" name="Immagine6" descr="imag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magine6" descr="image4.jpg"/>
                  <pic:cNvPicPr>
                    <a:picLocks noChangeAspect="1" noChangeArrowheads="1"/>
                  </pic:cNvPicPr>
                </pic:nvPicPr>
                <pic:blipFill>
                  <a:blip r:embed="rId3"/>
                  <a:srcRect l="0" t="31444" r="0" b="31444"/>
                  <a:stretch>
                    <a:fillRect/>
                  </a:stretch>
                </pic:blipFill>
                <pic:spPr bwMode="auto">
                  <a:xfrm>
                    <a:off x="0" y="0"/>
                    <a:ext cx="1016000" cy="198120"/>
                  </a:xfrm>
                  <a:prstGeom prst="rect">
                    <a:avLst/>
                  </a:prstGeom>
                  <a:noFill/>
                </pic:spPr>
              </pic:pic>
            </a:graphicData>
          </a:graphic>
        </wp:inline>
      </w:drawing>
    </w:r>
    <w:r>
      <w:rPr>
        <w:sz w:val="16"/>
        <w:szCs w:val="16"/>
        <w:shd w:fill="auto" w:val="clear"/>
        <w:lang w:val="it-IT"/>
      </w:rPr>
      <w:t xml:space="preserve"> </w:t>
    </w:r>
    <w:r>
      <w:rPr/>
      <w:drawing>
        <wp:inline distT="0" distB="0" distL="0" distR="0">
          <wp:extent cx="794385" cy="238760"/>
          <wp:effectExtent l="0" t="0" r="0" b="0"/>
          <wp:docPr id="8" name="Immagine7" descr="imag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7" descr="image5.jpg"/>
                  <pic:cNvPicPr>
                    <a:picLocks noChangeAspect="1" noChangeArrowheads="1"/>
                  </pic:cNvPicPr>
                </pic:nvPicPr>
                <pic:blipFill>
                  <a:blip r:embed="rId4"/>
                  <a:srcRect l="8025" t="7492" r="5665" b="25068"/>
                  <a:stretch>
                    <a:fillRect/>
                  </a:stretch>
                </pic:blipFill>
                <pic:spPr bwMode="auto">
                  <a:xfrm>
                    <a:off x="0" y="0"/>
                    <a:ext cx="794385" cy="238760"/>
                  </a:xfrm>
                  <a:prstGeom prst="rect">
                    <a:avLst/>
                  </a:prstGeom>
                  <a:noFill/>
                </pic:spPr>
              </pic:pic>
            </a:graphicData>
          </a:graphic>
        </wp:inline>
      </w:drawing>
    </w:r>
    <w:r>
      <w:rPr>
        <w:sz w:val="16"/>
        <w:szCs w:val="16"/>
        <w:shd w:fill="auto" w:val="clear"/>
        <w:lang w:val="it-IT"/>
      </w:rPr>
      <w:t xml:space="preserve"> </w:t>
    </w:r>
    <w:r>
      <w:rPr/>
      <w:drawing>
        <wp:inline distT="0" distB="0" distL="0" distR="0">
          <wp:extent cx="788035" cy="250825"/>
          <wp:effectExtent l="0" t="0" r="0" b="0"/>
          <wp:docPr id="9" name="Immagine8" descr="image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magine8" descr="image9.jpg"/>
                  <pic:cNvPicPr>
                    <a:picLocks noChangeAspect="1" noChangeArrowheads="1"/>
                  </pic:cNvPicPr>
                </pic:nvPicPr>
                <pic:blipFill>
                  <a:blip r:embed="rId5"/>
                  <a:stretch>
                    <a:fillRect/>
                  </a:stretch>
                </pic:blipFill>
                <pic:spPr bwMode="auto">
                  <a:xfrm>
                    <a:off x="0" y="0"/>
                    <a:ext cx="788035" cy="250825"/>
                  </a:xfrm>
                  <a:prstGeom prst="rect">
                    <a:avLst/>
                  </a:prstGeom>
                  <a:noFill/>
                </pic:spPr>
              </pic:pic>
            </a:graphicData>
          </a:graphic>
        </wp:inline>
      </w:drawing>
    </w:r>
    <w:r>
      <w:rPr>
        <w:sz w:val="16"/>
        <w:szCs w:val="16"/>
        <w:shd w:fill="auto" w:val="clear"/>
        <w:lang w:val="it-IT"/>
      </w:rPr>
      <w:t xml:space="preserve">    </w:t>
    </w:r>
    <w:r>
      <w:rPr/>
      <w:drawing>
        <wp:inline distT="0" distB="0" distL="0" distR="0">
          <wp:extent cx="935355" cy="370205"/>
          <wp:effectExtent l="0" t="0" r="0" b="0"/>
          <wp:docPr id="10" name="Immagine9" descr="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magine9" descr="image2.png"/>
                  <pic:cNvPicPr>
                    <a:picLocks noChangeAspect="1" noChangeArrowheads="1"/>
                  </pic:cNvPicPr>
                </pic:nvPicPr>
                <pic:blipFill>
                  <a:blip r:embed="rId6"/>
                  <a:stretch>
                    <a:fillRect/>
                  </a:stretch>
                </pic:blipFill>
                <pic:spPr bwMode="auto">
                  <a:xfrm>
                    <a:off x="0" y="0"/>
                    <a:ext cx="935355" cy="370205"/>
                  </a:xfrm>
                  <a:prstGeom prst="rect">
                    <a:avLst/>
                  </a:prstGeom>
                  <a:noFill/>
                </pic:spPr>
              </pic:pic>
            </a:graphicData>
          </a:graphic>
        </wp:inline>
      </w:drawing>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sz w:val="8"/>
        <w:szCs w:val="8"/>
      </w:rPr>
    </w:pPr>
    <w:r>
      <w:rPr>
        <w:sz w:val="8"/>
        <w:szCs w:val="8"/>
      </w:rPr>
    </w:r>
  </w:p>
  <w:p>
    <w:pPr>
      <w:pStyle w:val="Normal"/>
      <w:tabs>
        <w:tab w:val="clear" w:pos="720"/>
        <w:tab w:val="center" w:pos="4819" w:leader="none"/>
        <w:tab w:val="right" w:pos="9638" w:leader="none"/>
      </w:tabs>
      <w:bidi w:val="0"/>
      <w:ind w:hanging="0" w:left="0" w:right="0"/>
      <w:jc w:val="center"/>
      <w:rPr>
        <w:sz w:val="16"/>
        <w:szCs w:val="16"/>
        <w:shd w:fill="auto" w:val="clear"/>
        <w:lang w:val="it-IT"/>
      </w:rPr>
    </w:pPr>
    <w:r>
      <w:rPr>
        <w:sz w:val="22"/>
        <w:szCs w:val="22"/>
        <w:shd w:fill="auto" w:val="clear"/>
        <w:lang w:val="it-IT"/>
      </w:rPr>
      <w:t>Communication Partner</w:t>
      <w:tab/>
    </w:r>
    <w:r>
      <w:rPr>
        <w:sz w:val="16"/>
        <w:szCs w:val="16"/>
        <w:shd w:fill="auto" w:val="clear"/>
        <w:lang w:val="it-IT"/>
      </w:rPr>
      <w:t>News Agencies Partner</w:t>
    </w:r>
  </w:p>
  <w:p>
    <w:pPr>
      <w:pStyle w:val="Normal"/>
      <w:tabs>
        <w:tab w:val="clear" w:pos="720"/>
        <w:tab w:val="center" w:pos="4819" w:leader="none"/>
        <w:tab w:val="right" w:pos="9638" w:leader="none"/>
      </w:tabs>
      <w:bidi w:val="0"/>
      <w:ind w:hanging="0" w:left="0" w:right="0"/>
      <w:jc w:val="center"/>
      <w:rPr/>
    </w:pPr>
    <w:r>
      <w:rPr/>
      <w:drawing>
        <wp:inline distT="0" distB="0" distL="0" distR="0">
          <wp:extent cx="1692910" cy="310515"/>
          <wp:effectExtent l="0" t="0" r="0" b="0"/>
          <wp:docPr id="11" name="Immagine4" descr="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magine4" descr="image1.png"/>
                  <pic:cNvPicPr>
                    <a:picLocks noChangeAspect="1" noChangeArrowheads="1"/>
                  </pic:cNvPicPr>
                </pic:nvPicPr>
                <pic:blipFill>
                  <a:blip r:embed="rId1"/>
                  <a:srcRect l="4693" t="41052" r="78685" b="34442"/>
                  <a:stretch>
                    <a:fillRect/>
                  </a:stretch>
                </pic:blipFill>
                <pic:spPr bwMode="auto">
                  <a:xfrm>
                    <a:off x="0" y="0"/>
                    <a:ext cx="1692910" cy="310515"/>
                  </a:xfrm>
                  <a:prstGeom prst="rect">
                    <a:avLst/>
                  </a:prstGeom>
                  <a:noFill/>
                </pic:spPr>
              </pic:pic>
            </a:graphicData>
          </a:graphic>
        </wp:inline>
      </w:drawing>
    </w:r>
    <w:r>
      <w:rPr>
        <w:sz w:val="22"/>
        <w:szCs w:val="22"/>
        <w:shd w:fill="auto" w:val="clear"/>
      </w:rPr>
      <w:tab/>
    </w:r>
    <w:r>
      <w:rPr>
        <w:sz w:val="16"/>
        <w:szCs w:val="16"/>
        <w:shd w:fill="auto" w:val="clear"/>
        <w:lang w:val="it-IT"/>
      </w:rPr>
      <w:t xml:space="preserve">  </w:t>
    </w:r>
    <w:r>
      <w:rPr/>
      <w:drawing>
        <wp:inline distT="0" distB="0" distL="0" distR="0">
          <wp:extent cx="346710" cy="348615"/>
          <wp:effectExtent l="0" t="0" r="0" b="0"/>
          <wp:docPr id="12" name="Immagine5" descr="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magine5" descr="image3.png"/>
                  <pic:cNvPicPr>
                    <a:picLocks noChangeAspect="1" noChangeArrowheads="1"/>
                  </pic:cNvPicPr>
                </pic:nvPicPr>
                <pic:blipFill>
                  <a:blip r:embed="rId2"/>
                  <a:stretch>
                    <a:fillRect/>
                  </a:stretch>
                </pic:blipFill>
                <pic:spPr bwMode="auto">
                  <a:xfrm>
                    <a:off x="0" y="0"/>
                    <a:ext cx="346710" cy="348615"/>
                  </a:xfrm>
                  <a:prstGeom prst="rect">
                    <a:avLst/>
                  </a:prstGeom>
                  <a:noFill/>
                </pic:spPr>
              </pic:pic>
            </a:graphicData>
          </a:graphic>
        </wp:inline>
      </w:drawing>
    </w:r>
    <w:r>
      <w:rPr>
        <w:sz w:val="16"/>
        <w:szCs w:val="16"/>
        <w:shd w:fill="auto" w:val="clear"/>
        <w:lang w:val="it-IT"/>
      </w:rPr>
      <w:t xml:space="preserve"> </w:t>
    </w:r>
    <w:r>
      <w:rPr/>
      <w:drawing>
        <wp:inline distT="0" distB="0" distL="0" distR="0">
          <wp:extent cx="1016000" cy="198120"/>
          <wp:effectExtent l="0" t="0" r="0" b="0"/>
          <wp:docPr id="13" name="Immagine6" descr="imag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magine6" descr="image4.jpg"/>
                  <pic:cNvPicPr>
                    <a:picLocks noChangeAspect="1" noChangeArrowheads="1"/>
                  </pic:cNvPicPr>
                </pic:nvPicPr>
                <pic:blipFill>
                  <a:blip r:embed="rId3"/>
                  <a:srcRect l="0" t="31444" r="0" b="31444"/>
                  <a:stretch>
                    <a:fillRect/>
                  </a:stretch>
                </pic:blipFill>
                <pic:spPr bwMode="auto">
                  <a:xfrm>
                    <a:off x="0" y="0"/>
                    <a:ext cx="1016000" cy="198120"/>
                  </a:xfrm>
                  <a:prstGeom prst="rect">
                    <a:avLst/>
                  </a:prstGeom>
                  <a:noFill/>
                </pic:spPr>
              </pic:pic>
            </a:graphicData>
          </a:graphic>
        </wp:inline>
      </w:drawing>
    </w:r>
    <w:r>
      <w:rPr>
        <w:sz w:val="16"/>
        <w:szCs w:val="16"/>
        <w:shd w:fill="auto" w:val="clear"/>
        <w:lang w:val="it-IT"/>
      </w:rPr>
      <w:t xml:space="preserve"> </w:t>
    </w:r>
    <w:r>
      <w:rPr/>
      <w:drawing>
        <wp:inline distT="0" distB="0" distL="0" distR="0">
          <wp:extent cx="794385" cy="238760"/>
          <wp:effectExtent l="0" t="0" r="0" b="0"/>
          <wp:docPr id="14" name="Immagine7" descr="imag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magine7" descr="image5.jpg"/>
                  <pic:cNvPicPr>
                    <a:picLocks noChangeAspect="1" noChangeArrowheads="1"/>
                  </pic:cNvPicPr>
                </pic:nvPicPr>
                <pic:blipFill>
                  <a:blip r:embed="rId4"/>
                  <a:srcRect l="8025" t="7492" r="5665" b="25068"/>
                  <a:stretch>
                    <a:fillRect/>
                  </a:stretch>
                </pic:blipFill>
                <pic:spPr bwMode="auto">
                  <a:xfrm>
                    <a:off x="0" y="0"/>
                    <a:ext cx="794385" cy="238760"/>
                  </a:xfrm>
                  <a:prstGeom prst="rect">
                    <a:avLst/>
                  </a:prstGeom>
                  <a:noFill/>
                </pic:spPr>
              </pic:pic>
            </a:graphicData>
          </a:graphic>
        </wp:inline>
      </w:drawing>
    </w:r>
    <w:r>
      <w:rPr>
        <w:sz w:val="16"/>
        <w:szCs w:val="16"/>
        <w:shd w:fill="auto" w:val="clear"/>
        <w:lang w:val="it-IT"/>
      </w:rPr>
      <w:t xml:space="preserve"> </w:t>
    </w:r>
    <w:r>
      <w:rPr/>
      <w:drawing>
        <wp:inline distT="0" distB="0" distL="0" distR="0">
          <wp:extent cx="788035" cy="250825"/>
          <wp:effectExtent l="0" t="0" r="0" b="0"/>
          <wp:docPr id="15" name="Immagine8" descr="image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magine8" descr="image9.jpg"/>
                  <pic:cNvPicPr>
                    <a:picLocks noChangeAspect="1" noChangeArrowheads="1"/>
                  </pic:cNvPicPr>
                </pic:nvPicPr>
                <pic:blipFill>
                  <a:blip r:embed="rId5"/>
                  <a:stretch>
                    <a:fillRect/>
                  </a:stretch>
                </pic:blipFill>
                <pic:spPr bwMode="auto">
                  <a:xfrm>
                    <a:off x="0" y="0"/>
                    <a:ext cx="788035" cy="250825"/>
                  </a:xfrm>
                  <a:prstGeom prst="rect">
                    <a:avLst/>
                  </a:prstGeom>
                  <a:noFill/>
                </pic:spPr>
              </pic:pic>
            </a:graphicData>
          </a:graphic>
        </wp:inline>
      </w:drawing>
    </w:r>
    <w:r>
      <w:rPr>
        <w:sz w:val="16"/>
        <w:szCs w:val="16"/>
        <w:shd w:fill="auto" w:val="clear"/>
        <w:lang w:val="it-IT"/>
      </w:rPr>
      <w:t xml:space="preserve">    </w:t>
    </w:r>
    <w:r>
      <w:rPr/>
      <w:drawing>
        <wp:inline distT="0" distB="0" distL="0" distR="0">
          <wp:extent cx="935355" cy="370205"/>
          <wp:effectExtent l="0" t="0" r="0" b="0"/>
          <wp:docPr id="16" name="Immagine9" descr="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magine9" descr="image2.png"/>
                  <pic:cNvPicPr>
                    <a:picLocks noChangeAspect="1" noChangeArrowheads="1"/>
                  </pic:cNvPicPr>
                </pic:nvPicPr>
                <pic:blipFill>
                  <a:blip r:embed="rId6"/>
                  <a:stretch>
                    <a:fillRect/>
                  </a:stretch>
                </pic:blipFill>
                <pic:spPr bwMode="auto">
                  <a:xfrm>
                    <a:off x="0" y="0"/>
                    <a:ext cx="935355" cy="370205"/>
                  </a:xfrm>
                  <a:prstGeom prst="rect">
                    <a:avLst/>
                  </a:prstGeom>
                  <a:noFill/>
                </pic:spPr>
              </pic:pic>
            </a:graphicData>
          </a:graphic>
        </wp:inline>
      </w:drawing>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center" w:pos="4819" w:leader="none"/>
        <w:tab w:val="right" w:pos="9612" w:leader="none"/>
      </w:tabs>
      <w:rPr/>
    </w:pPr>
    <w:r>
      <w:rPr/>
      <w:drawing>
        <wp:inline distT="0" distB="0" distL="0" distR="0">
          <wp:extent cx="1979930" cy="495935"/>
          <wp:effectExtent l="0" t="0" r="0" b="0"/>
          <wp:docPr id="3" name="Immagine3" descr="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3" descr="image6.png"/>
                  <pic:cNvPicPr>
                    <a:picLocks noChangeAspect="1" noChangeArrowheads="1"/>
                  </pic:cNvPicPr>
                </pic:nvPicPr>
                <pic:blipFill>
                  <a:blip r:embed="rId1"/>
                  <a:stretch>
                    <a:fillRect/>
                  </a:stretch>
                </pic:blipFill>
                <pic:spPr bwMode="auto">
                  <a:xfrm>
                    <a:off x="0" y="0"/>
                    <a:ext cx="1979930" cy="495935"/>
                  </a:xfrm>
                  <a:prstGeom prst="rect">
                    <a:avLst/>
                  </a:prstGeom>
                  <a:noFill/>
                </pic:spPr>
              </pic:pic>
            </a:graphicData>
          </a:graphic>
        </wp:inline>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center" w:pos="4819" w:leader="none"/>
        <w:tab w:val="right" w:pos="9612" w:leader="none"/>
      </w:tabs>
      <w:rPr/>
    </w:pPr>
    <w:r>
      <w:rPr/>
      <w:drawing>
        <wp:inline distT="0" distB="0" distL="0" distR="0">
          <wp:extent cx="1979930" cy="495935"/>
          <wp:effectExtent l="0" t="0" r="0" b="0"/>
          <wp:docPr id="4" name="Immagine3" descr="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3" descr="image6.png"/>
                  <pic:cNvPicPr>
                    <a:picLocks noChangeAspect="1" noChangeArrowheads="1"/>
                  </pic:cNvPicPr>
                </pic:nvPicPr>
                <pic:blipFill>
                  <a:blip r:embed="rId1"/>
                  <a:stretch>
                    <a:fillRect/>
                  </a:stretch>
                </pic:blipFill>
                <pic:spPr bwMode="auto">
                  <a:xfrm>
                    <a:off x="0" y="0"/>
                    <a:ext cx="1979930" cy="495935"/>
                  </a:xfrm>
                  <a:prstGeom prst="rect">
                    <a:avLst/>
                  </a:prstGeom>
                  <a:noFill/>
                </pic:spPr>
              </pic:pic>
            </a:graphicData>
          </a:graphic>
        </wp:inline>
      </w:drawing>
    </w:r>
  </w:p>
</w:hdr>
</file>

<file path=word/settings.xml><?xml version="1.0" encoding="utf-8"?>
<w:settings xmlns:w="http://schemas.openxmlformats.org/wordprocessingml/2006/main">
  <w:zoom w:percent="100"/>
  <w:trackRevisions/>
  <w:defaultTabStop w:val="720"/>
  <w:autoHyphenation w:val="true"/>
  <w:hyphenationZone w:val="36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Arial Unicode MS" w:cs="Times New Roman"/>
        <w:lang w:val="it-IT" w:eastAsia="zh-CN" w:bidi="hi-IN"/>
      </w:rPr>
    </w:rPrDefault>
    <w:pPrDefault>
      <w:pPr>
        <w:suppressAutoHyphens w:val="true"/>
      </w:pPr>
    </w:pPrDefault>
  </w:docDefaults>
  <w:style w:type="paragraph" w:styleId="Normal" w:default="1">
    <w:name w:val="Normal"/>
    <w:qFormat/>
    <w:pPr>
      <w:keepNext w:val="false"/>
      <w:keepLines w:val="false"/>
      <w:pageBreakBefore w:val="false"/>
      <w:widowControl/>
      <w:pBdr/>
      <w:shd w:val="clear" w:color="auto" w:fill="auto"/>
      <w:suppressAutoHyphens w:val="false"/>
      <w:bidi w:val="0"/>
      <w:spacing w:lineRule="auto" w:line="240" w:beforeAutospacing="0" w:before="0" w:afterAutospacing="0" w:after="0"/>
      <w:ind w:hanging="0" w:left="0" w:right="0"/>
      <w:jc w:val="left"/>
    </w:pPr>
    <w:rPr>
      <w:rFonts w:ascii="Calibri" w:hAnsi="Calibri" w:eastAsia="Arial Unicode MS" w:cs="Arial Unicode MS"/>
      <w:b w:val="false"/>
      <w:bCs w:val="false"/>
      <w:i w:val="false"/>
      <w:iCs w:val="false"/>
      <w:caps w:val="false"/>
      <w:smallCaps w:val="false"/>
      <w:strike w:val="false"/>
      <w:dstrike w:val="false"/>
      <w:outline w:val="false"/>
      <w:emboss w:val="false"/>
      <w:imprint w:val="false"/>
      <w:vanish w:val="false"/>
      <w:color w:val="000000"/>
      <w:spacing w:val="0"/>
      <w:w w:val="100"/>
      <w:kern w:val="0"/>
      <w:position w:val="0"/>
      <w:sz w:val="22"/>
      <w:sz w:val="22"/>
      <w:szCs w:val="22"/>
      <w:u w:val="none" w:color="000000"/>
      <w:shd w:fill="auto" w:val="clear"/>
      <w:vertAlign w:val="baseline"/>
      <w:lang w:val="it-IT" w:eastAsia="zh-CN" w:bidi="hi-IN"/>
    </w:rPr>
  </w:style>
  <w:style w:type="character" w:styleId="DefaultParagraphFont" w:default="1">
    <w:name w:val="Default Paragraph Font"/>
    <w:qFormat/>
    <w:rPr/>
  </w:style>
  <w:style w:type="character" w:styleId="Hyperlink">
    <w:name w:val="Hyperlink"/>
    <w:rPr>
      <w:u w:val="single" w:color="FFFFFF"/>
    </w:rPr>
  </w:style>
  <w:style w:type="character" w:styleId="Nessuno">
    <w:name w:val="Nessuno"/>
    <w:qFormat/>
    <w:rPr/>
  </w:style>
  <w:style w:type="character" w:styleId="Hyperlink0">
    <w:name w:val="Hyperlink.0"/>
    <w:basedOn w:val="Nessuno"/>
    <w:qFormat/>
    <w:rPr>
      <w:outline w:val="false"/>
      <w:color w:val="0563C1"/>
      <w:sz w:val="20"/>
      <w:szCs w:val="20"/>
      <w:u w:val="single" w:color="0563C1"/>
    </w:rPr>
  </w:style>
  <w:style w:type="character" w:styleId="Hyperlink1">
    <w:name w:val="Hyperlink.1"/>
    <w:basedOn w:val="Nessuno"/>
    <w:qFormat/>
    <w:rPr>
      <w:rFonts w:ascii="Calibri" w:hAnsi="Calibri" w:eastAsia="Calibri" w:cs="Calibri"/>
      <w:outline w:val="false"/>
      <w:color w:val="0563C1"/>
      <w:u w:val="single" w:color="0563C1"/>
      <w:shd w:fill="auto" w:val="clear"/>
      <w:lang w:val="it-IT"/>
    </w:rPr>
  </w:style>
  <w:style w:type="character" w:styleId="Hyperlink2">
    <w:name w:val="Hyperlink.2"/>
    <w:basedOn w:val="Nessuno"/>
    <w:qFormat/>
    <w:rPr>
      <w:rFonts w:ascii="Calibri" w:hAnsi="Calibri" w:eastAsia="Calibri" w:cs="Calibri"/>
      <w:outline w:val="false"/>
      <w:color w:val="0563C1"/>
      <w:sz w:val="20"/>
      <w:szCs w:val="20"/>
      <w:u w:val="single" w:color="0563C1"/>
      <w:shd w:fill="auto" w:val="clear"/>
      <w:lang w:val="it-IT"/>
    </w:rPr>
  </w:style>
  <w:style w:type="paragraph" w:styleId="Titolo">
    <w:name w:val="Tito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rPr>
  </w:style>
  <w:style w:type="paragraph" w:styleId="Intestazioneepidipagina">
    <w:name w:val="Intestazione e piè di pagina"/>
    <w:basedOn w:val="Normal"/>
    <w:qFormat/>
    <w:pPr/>
    <w:rPr/>
  </w:style>
  <w:style w:type="paragraph" w:styleId="Header">
    <w:name w:val="header"/>
    <w:basedOn w:val="Intestazioneepidipagina"/>
    <w:pPr/>
    <w:rPr/>
  </w:style>
  <w:style w:type="paragraph" w:styleId="Footer">
    <w:name w:val="footer"/>
    <w:basedOn w:val="Intestazioneepidipagina"/>
    <w:pPr/>
    <w:rPr/>
  </w:style>
  <w:style w:type="numbering" w:styleId="Nessunelenco" w:default="1">
    <w:name w:val="Nessun elenco"/>
    <w:qFormat/>
  </w:style>
  <w:style w:type="table" w:default="1" w:styleId="Table Normal">
    <w:name w:val="Table Normal"/>
    <w:tblStylePr w:type="firstRow">
      <w:tblPr/>
    </w:tblStylePr>
    <w:tblStylePr w:type="lastRow">
      <w:tblPr/>
    </w:tblStylePr>
    <w:tblStylePr w:type="firstCol">
      <w:tblPr/>
    </w:tblStylePr>
    <w:tblStylePr w:type="lastCol">
      <w:tblPr/>
    </w:tblStylePr>
    <w:tblStylePr w:type="band1Vert">
      <w:tblPr/>
    </w:tblStylePr>
    <w:tblStylePr w:type="band2Vert">
      <w:tblPr/>
    </w:tblStylePr>
    <w:tblStylePr w:type="band1Horz">
      <w:tblPr/>
    </w:tblStylePr>
    <w:tblStylePr w:type="band2Horz">
      <w:tblPr/>
    </w:tblStylePr>
    <w:tblStylePr w:type="neCell">
      <w:tblPr/>
    </w:tblStylePr>
    <w:tblStylePr w:type="nwCell">
      <w:tblPr/>
    </w:tblStylePr>
    <w:tblStylePr w:type="seCell">
      <w:tblPr/>
    </w:tblStylePr>
    <w:tblStylePr w:type="swCell">
      <w:tbl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meeting@meetingrimini.org" TargetMode="External"/><Relationship Id="rId3" Type="http://schemas.openxmlformats.org/officeDocument/2006/relationships/hyperlink" Target="https://meetingrimini.musvc2.net/e/t?q=3=QZ3TK&amp;G=1&amp;D=IY4S&amp;7=X3ZLc&amp;u=1s6a8BOpI_0vSp_K6_rqku_26_0vSp_JAwME.He5BDn70Dm96D.oHy&amp;9=mKAQcR.60t&amp;9A=X7YI&amp;mupckp=mupAtu4m8OiX0wt" TargetMode="External"/><Relationship Id="rId4" Type="http://schemas.openxmlformats.org/officeDocument/2006/relationships/image" Target="media/image1.png"/><Relationship Id="rId5" Type="http://schemas.openxmlformats.org/officeDocument/2006/relationships/hyperlink" Target="mailto:eugenio.andreatta@meetingrimini.org" TargetMode="External"/><Relationship Id="rId6" Type="http://schemas.openxmlformats.org/officeDocument/2006/relationships/image" Target="media/image2.png"/><Relationship Id="rId7" Type="http://schemas.openxmlformats.org/officeDocument/2006/relationships/hyperlink" Target="mailto:federico.fabretti@cominandpartners.com" TargetMode="External"/><Relationship Id="rId8" Type="http://schemas.openxmlformats.org/officeDocument/2006/relationships/hyperlink" Target="mailto:adriano.dossi@cominandpartners.com" TargetMode="Externa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header" Target="header3.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oter" Target="footer3.xml"/><Relationship Id="rId15" Type="http://schemas.openxmlformats.org/officeDocument/2006/relationships/fontTable" Target="fontTable.xml"/><Relationship Id="rId16" Type="http://schemas.openxmlformats.org/officeDocument/2006/relationships/settings" Target="settings.xml"/><Relationship Id="rId17" Type="http://schemas.openxmlformats.org/officeDocument/2006/relationships/theme" Target="theme/theme1.xml"/>
</Relationships>
</file>

<file path=word/_rels/footer2.xml.rels><?xml version="1.0" encoding="UTF-8"?>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4.png"/><Relationship Id="rId3" Type="http://schemas.openxmlformats.org/officeDocument/2006/relationships/image" Target="media/image5.jpeg"/><Relationship Id="rId4" Type="http://schemas.openxmlformats.org/officeDocument/2006/relationships/image" Target="media/image6.jpeg"/><Relationship Id="rId5" Type="http://schemas.openxmlformats.org/officeDocument/2006/relationships/image" Target="media/image7.jpeg"/><Relationship Id="rId6" Type="http://schemas.openxmlformats.org/officeDocument/2006/relationships/image" Target="media/image8.jpeg"/>
</Relationships>
</file>

<file path=word/_rels/footer3.xml.rels><?xml version="1.0" encoding="UTF-8"?>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4.png"/><Relationship Id="rId3" Type="http://schemas.openxmlformats.org/officeDocument/2006/relationships/image" Target="media/image5.jpeg"/><Relationship Id="rId4" Type="http://schemas.openxmlformats.org/officeDocument/2006/relationships/image" Target="media/image6.jpeg"/><Relationship Id="rId5" Type="http://schemas.openxmlformats.org/officeDocument/2006/relationships/image" Target="media/image7.jpeg"/><Relationship Id="rId6" Type="http://schemas.openxmlformats.org/officeDocument/2006/relationships/image" Target="media/image8.jpeg"/>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word/_rels/header3.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pitchFamily="0" charset="1"/>
        <a:ea typeface="Helvetica Neue" pitchFamily="0" charset="1"/>
        <a:cs typeface="Helvetica Neue" pitchFamily="0" charset="1"/>
      </a:majorFont>
      <a:minorFont>
        <a:latin typeface="Helvetica Neue" pitchFamily="0" charset="1"/>
        <a:ea typeface="Helvetica Neue" pitchFamily="0" charset="1"/>
        <a:cs typeface="Helvetica Neue"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
  <TotalTime>2</TotalTime>
  <Application>LibreOffice/25.2.7.2$Windows_X86_64 LibreOffice_project/5cbfd1ab6520636bb5f7b99185aa69bd7456825d</Application>
  <AppVersion>15.0000</AppVersion>
  <Pages>4</Pages>
  <Words>1684</Words>
  <Characters>10358</Characters>
  <CharactersWithSpaces>12040</CharactersWithSpaces>
  <Paragraphs>39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it-IT</dc:language>
  <cp:lastModifiedBy/>
  <dcterms:modified xsi:type="dcterms:W3CDTF">2026-08-22T14:00:26Z</dcterms:modified>
  <cp:revision>1</cp:revision>
  <dc:subject/>
  <dc:title/>
</cp:coreProperties>
</file>